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64C7" w:rsidRPr="000A64C7" w:rsidRDefault="000A64C7" w:rsidP="000A64C7">
      <w:pPr>
        <w:ind w:firstLine="284"/>
        <w:jc w:val="center"/>
        <w:rPr>
          <w:rFonts w:ascii="Times New Roman" w:hAnsi="Times New Roman" w:cs="Times New Roman"/>
          <w:b/>
          <w:sz w:val="28"/>
          <w:szCs w:val="28"/>
        </w:rPr>
      </w:pPr>
      <w:r w:rsidRPr="000A64C7">
        <w:rPr>
          <w:rFonts w:ascii="Times New Roman" w:hAnsi="Times New Roman" w:cs="Times New Roman"/>
          <w:b/>
          <w:sz w:val="28"/>
          <w:szCs w:val="28"/>
        </w:rPr>
        <w:t>№9 дәріс</w:t>
      </w:r>
    </w:p>
    <w:p w:rsidR="00F60B14" w:rsidRPr="000A64C7" w:rsidRDefault="000A64C7" w:rsidP="000A64C7">
      <w:pPr>
        <w:ind w:firstLine="284"/>
        <w:jc w:val="center"/>
        <w:rPr>
          <w:rFonts w:ascii="Times New Roman" w:hAnsi="Times New Roman" w:cs="Times New Roman"/>
          <w:b/>
          <w:sz w:val="28"/>
          <w:szCs w:val="28"/>
        </w:rPr>
      </w:pPr>
      <w:r w:rsidRPr="000A64C7">
        <w:rPr>
          <w:rFonts w:ascii="Times New Roman" w:hAnsi="Times New Roman" w:cs="Times New Roman"/>
          <w:b/>
          <w:sz w:val="28"/>
          <w:szCs w:val="28"/>
        </w:rPr>
        <w:t>Электромагниттік өрістер мен сәулелерден қорғау құралдары</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Эволюция барысында биосфераға табиғи себептерден туындаған фондық сәулелену деп аталатын электромагниттік өрістер әсер етті. Индустрияландыру процесінде адамзат бұған бірқатар факторларды қосып, фондық сәулеленуді күшейтті. Осыған байланысты антропогендік ЭМӨ табиғи фоннан едәуір асып, қазір қауіпті экологиялық факторға айналды.</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Радиотехникалық құрылғылар мен жүйелерді, қоршаған ортаға электромагниттік энергияның шығарылуына әкелетін жаңа технологиялық процестерді қолдану электромагниттік сәулеленудің адам ағзасына теріс әсерімен байланысты бірқатар қиындықтар туғызады. ЭМӨ әсерінен дененің қызып кетуі байқалады, орталық жүйке жүйесіне, эндокриндік, метаболизмге, жүрек-тамыр жүйесіне, көру қабілетіне теріс әсер етеді. Шаршау, қан қысымы жоғарылайды, әсер ету тұрақтылығы бұзылады.</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Машина жасауда ЭМӨ көздері болып табылады:</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 индукторлар;</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 трансформаторлар;</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 xml:space="preserve"> антен антенналар;</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 шам генераторлары бар жылу қондырғыларының конденсаторлары;</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 генераторлардың жеке бөліктерін қосатын фидерлік желілер;</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 толқын жолдарының фланецті қосылыстары;</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 толқындардың ашық ұштары;</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 микротолқынды генераторлар.</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Оңай электрленетін материалдармен және бұйымдармен жұмыс істеу кезінде жоғары вольтты тұрақты ток қондырғыларын пайдалану кезінде электростатикалық өрістер пайда болады.</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Тұрақты магнит өрістерінің көздері болуы мүмкін:</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1. Электромагниттер;</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2. Соленоидтар;</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3. Жартылай периодты немесе конденсаторлық типті импульстік қондырғылар;</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4. Құйма және металл-керамикалық магниттер.</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Өнеркәсіптік жиіліктің электр өрістерінің, радиожиіліктердің электромагниттік өрістерінің және электростатикалық өрістердің деңгейлері ГОСТ 12.1.002 – 84, ГОСТ 12.1.006 - 84 иГОСТ 12.1.045-84 сәйкес реттеледі.</w:t>
      </w:r>
    </w:p>
    <w:p w:rsidR="00CA70D5"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 xml:space="preserve">Электромагниттік өрістердің жіктелуі. Электромагниттік өрістер жиілік диапазоны немесе толқын ұзындығы бойынша жіктеледі. </w:t>
      </w:r>
    </w:p>
    <w:p w:rsidR="00CA70D5" w:rsidRDefault="00CA70D5" w:rsidP="00CA70D5">
      <w:pPr>
        <w:spacing w:after="0" w:line="240" w:lineRule="auto"/>
        <w:ind w:firstLine="284"/>
        <w:jc w:val="both"/>
        <w:rPr>
          <w:rFonts w:ascii="Times New Roman" w:hAnsi="Times New Roman" w:cs="Times New Roman"/>
          <w:sz w:val="28"/>
          <w:szCs w:val="28"/>
        </w:rPr>
      </w:pPr>
      <w:bookmarkStart w:id="0" w:name="_GoBack"/>
      <w:bookmarkEnd w:id="0"/>
    </w:p>
    <w:p w:rsidR="000A64C7" w:rsidRPr="00CA70D5" w:rsidRDefault="000A64C7" w:rsidP="000A64C7">
      <w:pPr>
        <w:ind w:firstLine="284"/>
        <w:rPr>
          <w:rFonts w:ascii="Times New Roman" w:hAnsi="Times New Roman" w:cs="Times New Roman"/>
          <w:b/>
          <w:sz w:val="28"/>
          <w:szCs w:val="28"/>
        </w:rPr>
      </w:pPr>
      <w:r w:rsidRPr="00CA70D5">
        <w:rPr>
          <w:rFonts w:ascii="Times New Roman" w:hAnsi="Times New Roman" w:cs="Times New Roman"/>
          <w:b/>
          <w:sz w:val="28"/>
          <w:szCs w:val="28"/>
        </w:rPr>
        <w:t xml:space="preserve">9.1 </w:t>
      </w:r>
      <w:r w:rsidR="00CA70D5" w:rsidRPr="00CA70D5">
        <w:rPr>
          <w:rFonts w:ascii="Times New Roman" w:hAnsi="Times New Roman" w:cs="Times New Roman"/>
          <w:b/>
          <w:sz w:val="28"/>
          <w:szCs w:val="28"/>
          <w:lang w:val="kk-KZ"/>
        </w:rPr>
        <w:t>Э</w:t>
      </w:r>
      <w:r w:rsidRPr="00CA70D5">
        <w:rPr>
          <w:rFonts w:ascii="Times New Roman" w:hAnsi="Times New Roman" w:cs="Times New Roman"/>
          <w:b/>
          <w:sz w:val="28"/>
          <w:szCs w:val="28"/>
        </w:rPr>
        <w:t>лектромагниттік сәулеленуден қорғау</w:t>
      </w:r>
    </w:p>
    <w:p w:rsidR="000A64C7" w:rsidRPr="000A64C7" w:rsidRDefault="000A64C7" w:rsidP="000A64C7">
      <w:pPr>
        <w:ind w:firstLine="284"/>
        <w:rPr>
          <w:rFonts w:ascii="Times New Roman" w:hAnsi="Times New Roman" w:cs="Times New Roman"/>
          <w:sz w:val="28"/>
          <w:szCs w:val="28"/>
        </w:rPr>
      </w:pP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lastRenderedPageBreak/>
        <w:t>ЭМӨ-нің радиоэлектрондық құралдардың әрекет ету аймағындағы персоналға және халыққа әсерін азайту үшін бірқатар қорғау іс-шараларын қолдану қажет. Олардың қатарына мыналар кіруі мүмкін:</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 Ұйымдастырушылық;</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 Инженерлік-техникалық;</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 Дәрігерлік-профилактикалық.</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Ұйымдастырушылық және инженерлік-техникалық іс-шараларды жүзеге асыру ең алдымен санитарлық қадағалау органдарына жүктелген. Электромагниттік сәулелену көздерін пайдаланатын кәсіпорындар мен мекемелердің санитарлық зертханаларымен бірге олар радио құралдарын өндіретін және пайдаланатын объектілердің, сондай-ақ ЭМӨ пайдалана отырып, жаңа технологиялық процестер мен жабдықтардың жаңа құрылысы мен қайта жаңартылуын гигиеналық бағалау бойынша шаралар қабылдауы, сәулелендіру көздерін пайдаланатын объектілерге ағымдағы санитарлық қадағалау жүргізуі, мамандар даярлау және инженерлік-техникалық қадағалау бойынша ұйымдастырушылық-әдістемелік жұмыстарды жүзеге асыруы тиіс.</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Жобалау сатысында да адамдардың сәулелену қарқындылығын барынша азайтатын сәулелендіруші және сәулелендірілетін объектілердің өзара орналасуы қамтамасыз етілуі тиіс. Сәулеленуді толығымен болдырмау мүмкін емес болғандықтан, ЭМӨ қарқындылығы жоғары аймақтарға адамдардың ену ықтималдығын азайту, олардың сәулелену астында болу уақытын қысқарту керек. Сәулелену көздерінің қуаты ең аз қажет болуы тиіс.</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Инженерлік-техникалық әдістер мен қорғаныс құралдары өте маңызды:</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 ұжымдық (үйлер тобы, аудан, елді мекен);</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 xml:space="preserve"> Лок жергілікті (жеке ғимараттар, үй-жайлар);</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 жеке.</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Ұжымдық қорғаныс белгілі бір жер бедері жағдайында радиотолқындардың таралуын есептеуге негізделген. Табиғи экрандарды-жер қыртыстарын, орман екпелерін, тұрғын емес ғимараттарды пайдалану экономикалық тұрғыдан орынды. Тауға антеннаны орнату арқылы елді мекенді сәулелендіретін өрістің қарқындылығын бірнеше есе азайтуға болады. Ұқсас нәтиже антеннаның биіктігін арттыру арқылы бағыттылық диаграммасының тиісті бағытын береді. Бірақ: жоғары антенна күрделі, қымбат, аз төзімді. Сонымен қатар, мұндай қорғаудың тиімділігі қашықтықта азаяды.</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Экранның көмегімен сәулеленуден қорғау кезінде экран арқылы өту кезінде (мысалы, орман жолағы арқылы) толқынның сөнуі ескерілуі тиіс. Қорғау үшін өсімдіктерді пайдалануға болады. Шағылыстыратын және радио сіңіретін қалқандар түріндегі арнайы экрандар қымбат, тиімсіз және өте сирек қолданылады.</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Жергілікті қорғаныс тиімдірек және жиі қолданылады. Ол материалдағы сәулелену энергиясының жоғары сіңуін және оның бетінен шағылысуды қамтамасыз ететін радио қорғау материалдарын қолдануға негізделген. Шағылысу арқылы экрандау үшін жақсы өткізгіштігі бар металл парақтар мен торлар қолданылады.</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lastRenderedPageBreak/>
        <w:t>Үй-жайларды сыртқы сәулелерден қорғауды қабырғаларды металдандырылған тұсқағаздармен желімдеу; терезелерді торлармен, металдандырылған перделермен қорғау арқылы жүзеге асыруға болады. Мұндай бөлмедегі сәулелену азайтылады, ал экрандардан шағылысқан сәуле кеңістікте қайта бөлінеді және басқа объектілерге түседі.</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Инженерлік-техникалық қорғау құралдарына да:</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 жөндеу, реттеу және жөндеу процесінде төмендетілген қуатта жұмыс істеудің конструктивті мүмкіндігі;</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 қашықтан басқару, басқару.</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Радио құралдарына қызмет көрсететін және қысқа қашықтықта орналасқан Персонал аппаратураны экрандау жолымен сенімді қорғалуы тиіс.</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Ол үшін әртүрлі диэлектрлік және магниттік заттардан тұратын біртекті және композициялық радио сіңіргіш материалдар қолданылады. Сіңіру тиімділігін арттыру үшін экранның беті өрескел, қырлы немесе тікен түрінде жасалады.</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Радио сіңіргіш материалдарды қоршаған ортаны ЭМӨ-ден қорғау үшін қолдануға болады, ол экрандалған объектіде орналасқан көзден пайда болады. Бұдан басқа, шағылысудан қорғау үшін радиопоглотиктермен сәулелендіру құрылғылары сыналатын үй-жайлардың ээхсіз камераларының қабырғалары қапталады.</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Денені қорғау үшін металдандырылған маталар мен радио сіңіргіш материалдардан жасалған киім қолданылады. Металлданған мата металл сыммен спиральмен оралған мақта немесе нейлон жіптерінен тұрады. Осылайша, бұл мата металл тор сияқты (жіптер арасындағы қашықтық 0,5 мм-ге дейін) сәулеленуді кем дегенде 20-30 дБ-ға босатады. Қорғаныш киімінің бөлшектерін тігу кезінде оқшауланған өткізгіштердің жанасуын қамтамасыз ету керек. Сондықтан тігістерді электродтау электр өткізгіш ерітінділермен немесе желімдермен жүзеге асырылады.</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Көздер ішкі жағына қалайы қос тотығы бар өткізгіш пленкамен арнайы көзілдірікпен қорғалған. Көзілдіріктің резеңке жақтауы басылған металл торға ие немесе металл матамен желімделген. Бұл көзілдірікпен NVH сәулеленуі 20-30 дБ-ға әлсірейді.</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Ұжымдық және жеке қорғаныс құралдары радио объектілердегі персоналдың ұзақ мерзімді қауіпсіз жұмысын қамтамасыз ете алады.</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Адамды электромагниттік сәулеленудің қауіпті әсерінен қорғау бірқатар әдістермен жүзеге асырылады, олардың негізгілері:</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 сәулеленуді тікелей көзден азайту,</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излучения сәулелену көзін қорғау,</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электромагнит жұмыс орнын қорғау, электромагниттік энергияны сіңіру,</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 жеке қорғау құралдарын қолдану,</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 ұйымдастырушылық қорғау шаралары.</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Осы әдістерді іске асыру үшін:</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 экрандар,</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 сіңіргіш материалдар,</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lastRenderedPageBreak/>
        <w:t xml:space="preserve"> аттенюаторлар - (Француз аттенуерінен-азайту, әлсірету) тегіс айнымалы және бекітілген. Өнеркәсіп шығаратын аттенюаторлар қуаты 0,1-100 Вт және толқын ұзындығы 0,4-300 см болатын 0-ден 120 дБ-ға дейінгі радиацияны әлсіретуге мүмкіндік </w:t>
      </w:r>
      <w:proofErr w:type="gramStart"/>
      <w:r w:rsidRPr="000A64C7">
        <w:rPr>
          <w:rFonts w:ascii="Times New Roman" w:hAnsi="Times New Roman" w:cs="Times New Roman"/>
          <w:sz w:val="28"/>
          <w:szCs w:val="28"/>
        </w:rPr>
        <w:t>береді[</w:t>
      </w:r>
      <w:proofErr w:type="gramEnd"/>
      <w:r w:rsidRPr="000A64C7">
        <w:rPr>
          <w:rFonts w:ascii="Times New Roman" w:hAnsi="Times New Roman" w:cs="Times New Roman"/>
          <w:sz w:val="28"/>
          <w:szCs w:val="28"/>
        </w:rPr>
        <w:t>118].</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 эквивалент баламалы жүктемелер,</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 жеке құралдар.</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Экрандар электромагниттік өрісті толқындардың таралу бағытында әлсіретуге арналған. Әлсіреу дәрежесі экранның дизайнына және сәулелену параметрлеріне байланысты. Қорғаныс тиімділігіне экран жасалған материал да айтарлықтай әсер етеді.</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Қажетті әлсіреуді қамтамасыз ететін экранның қалыңдығын есептеуге болады. Алайда, экранның есептелген қалыңдығы әдетте аз, сондықтан ол дизайн тұрғысынан таңдалады. Қуатты сәулелену көздерімен, әсіресе ұзын толқындармен, экранның қалыңдығы есептелуі мүмкін.</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Экранның қалыңдығы негізінен радиацияның жиілігі мен қуатымен анықталады және қолданылатын металға аз тәуелді.</w:t>
      </w:r>
    </w:p>
    <w:p w:rsidR="000A64C7" w:rsidRPr="000A64C7" w:rsidRDefault="000A64C7" w:rsidP="00CA70D5">
      <w:pPr>
        <w:spacing w:after="0" w:line="240" w:lineRule="auto"/>
        <w:ind w:firstLine="284"/>
        <w:jc w:val="both"/>
        <w:rPr>
          <w:rFonts w:ascii="Times New Roman" w:hAnsi="Times New Roman" w:cs="Times New Roman"/>
          <w:sz w:val="28"/>
          <w:szCs w:val="28"/>
        </w:rPr>
      </w:pPr>
      <w:r w:rsidRPr="000A64C7">
        <w:rPr>
          <w:rFonts w:ascii="Times New Roman" w:hAnsi="Times New Roman" w:cs="Times New Roman"/>
          <w:sz w:val="28"/>
          <w:szCs w:val="28"/>
        </w:rPr>
        <w:t>Металл торды қорғау үшін жиі қолданылады. Тор экрандарының бірқатар артықшылықтары бар. Олар көрінеді, ауа ағынын өткізеді, экрандаушы құрылғыларды тез орнатуға және алып тастауға мүмкіндік береді</w:t>
      </w:r>
    </w:p>
    <w:p w:rsidR="00CA70D5" w:rsidRDefault="00CA70D5" w:rsidP="000A64C7">
      <w:pPr>
        <w:ind w:firstLine="284"/>
        <w:jc w:val="center"/>
        <w:rPr>
          <w:rFonts w:ascii="Times New Roman" w:hAnsi="Times New Roman" w:cs="Times New Roman"/>
          <w:b/>
          <w:sz w:val="28"/>
          <w:szCs w:val="28"/>
        </w:rPr>
      </w:pPr>
    </w:p>
    <w:p w:rsidR="000A64C7" w:rsidRPr="000A64C7" w:rsidRDefault="000A64C7" w:rsidP="000A64C7">
      <w:pPr>
        <w:ind w:firstLine="284"/>
        <w:jc w:val="center"/>
        <w:rPr>
          <w:rFonts w:ascii="Times New Roman" w:hAnsi="Times New Roman" w:cs="Times New Roman"/>
          <w:b/>
          <w:sz w:val="28"/>
          <w:szCs w:val="28"/>
        </w:rPr>
      </w:pPr>
      <w:r w:rsidRPr="000A64C7">
        <w:rPr>
          <w:rFonts w:ascii="Times New Roman" w:hAnsi="Times New Roman" w:cs="Times New Roman"/>
          <w:b/>
          <w:sz w:val="28"/>
          <w:szCs w:val="28"/>
        </w:rPr>
        <w:t xml:space="preserve">9.2 </w:t>
      </w:r>
      <w:r w:rsidR="00CA70D5">
        <w:rPr>
          <w:rFonts w:ascii="Times New Roman" w:hAnsi="Times New Roman" w:cs="Times New Roman"/>
          <w:b/>
          <w:sz w:val="28"/>
          <w:szCs w:val="28"/>
          <w:lang w:val="kk-KZ"/>
        </w:rPr>
        <w:t>Л</w:t>
      </w:r>
      <w:r w:rsidRPr="000A64C7">
        <w:rPr>
          <w:rFonts w:ascii="Times New Roman" w:hAnsi="Times New Roman" w:cs="Times New Roman"/>
          <w:b/>
          <w:sz w:val="28"/>
          <w:szCs w:val="28"/>
        </w:rPr>
        <w:t>азерлік сәулеленуден қорғау құралдары</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Лазерлік сәулеленудің әсерінен қорғау әдістері мен құралдарын бөлуге болады:</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 Ұйымдастыру</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 Инженерлік-техникалық</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 Жеке қорғаныс құралдары.</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Қорғаудың ұйымдастырушылық әдістері лазерлік қондырғыларда жұмыс істеу кезінде адамдардың қауіпті аймақтарға кіруіне жол бермейтін жұмысты дұрыс ұйымдастыруды қамтамасыз етеді.</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Инженерлік-техникалық әдістер қолданылатын лазердің қуатын азайту, лазерлік қондырғының сенімді экрандалуы және қашықтықтан басқару арқылы қауіпсіз лазерлік қондырғыларды құруды қарастырады. Адамға кездейсоқ түсуден сенімді қорғаныс сәулені оның бүкіл әрекет ету жолында жарық өткізгішпен экрандау болып табылады.</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Шағылысқан сәулелену деңгейін төмендету үшін сәуленің жүру жолында айналы беті бар линзалар, призмалар және басқа да қатты заттар блендтермен жабдықталады, ал Сәулеленген объектінің алдында диаметрі сәуленің диаметрінен сәл асатын тесігі бар қорғаныш экрандар - диафрагмалар орнатылады.</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 xml:space="preserve">3а,3в және 4-сыныпты лазерлер үшін лазерлік сәулеленуден қорғау құралы ретінде экрандарды пайдалану керек. Экрандар отқа төзімді және лазерлік сәуле өткізбейтін материалдан жасалуы керек және лазерлік сәуленің нысанамен өзара әрекеттесу аймағын мүмкіндігінше жабу </w:t>
      </w:r>
      <w:proofErr w:type="gramStart"/>
      <w:r w:rsidRPr="000A64C7">
        <w:rPr>
          <w:rFonts w:ascii="Times New Roman" w:hAnsi="Times New Roman" w:cs="Times New Roman"/>
          <w:sz w:val="28"/>
          <w:szCs w:val="28"/>
        </w:rPr>
        <w:t>керек[ 132</w:t>
      </w:r>
      <w:proofErr w:type="gramEnd"/>
      <w:r w:rsidRPr="000A64C7">
        <w:rPr>
          <w:rFonts w:ascii="Times New Roman" w:hAnsi="Times New Roman" w:cs="Times New Roman"/>
          <w:sz w:val="28"/>
          <w:szCs w:val="28"/>
        </w:rPr>
        <w:t>]</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lastRenderedPageBreak/>
        <w:t xml:space="preserve"> Қауіпті 4-ші кластағы лазерлік өнімдермен жұмыс істеу кезінде персоналды қорғаудың тиімді құралы ретінде арнайы технологиялық кабиналарды пайдалану керек.</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4-ші кластағы лазерлік өнімдермен жұмыс істеу кезінде персоналды қорғаудың ең тиімді құралы ретінде арнайы технологиялық кабиналарды пайдалану керек.</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 xml:space="preserve">Технологиялық кабиналар лазерлік сәулелену үшін өткізбейтін материалдан жасалуы тиіс. Технологиялық кабинаның құрылымы персоналды лазерлік сәулеленудің, газдардың, аэрозольдердің, жарқын жарқылдардың (алаудың), артық жылудың және басқа да қолайсыз факторлардың әсерінен қорғауы тиіс[132]. Кабинада жергілікті желдету және ГОСТ 21889-76 </w:t>
      </w:r>
      <w:proofErr w:type="gramStart"/>
      <w:r w:rsidRPr="000A64C7">
        <w:rPr>
          <w:rFonts w:ascii="Times New Roman" w:hAnsi="Times New Roman" w:cs="Times New Roman"/>
          <w:sz w:val="28"/>
          <w:szCs w:val="28"/>
        </w:rPr>
        <w:t>[ 133</w:t>
      </w:r>
      <w:proofErr w:type="gramEnd"/>
      <w:r w:rsidRPr="000A64C7">
        <w:rPr>
          <w:rFonts w:ascii="Times New Roman" w:hAnsi="Times New Roman" w:cs="Times New Roman"/>
          <w:sz w:val="28"/>
          <w:szCs w:val="28"/>
        </w:rPr>
        <w:t xml:space="preserve"> сәйкес эргономика талаптарына жауап беруі керек ]</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Жеке қорғану құралдары ретінде арнайы қорғаныш көзілдіріктер қолданылады, олардың әйнектері ГОСТ 9411-91[110] сәйкес таңдалады; ашық-жасыл немесе көгілдір түсті мақта-матадан жасалған технологиялық халаттар мен қолғаптар.</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Қауіпті азайту үшін лазерлік қондырғының өзі және өңделетін объектілер болып табылатын қауіп-қатерлерден қорғау қажет. Нысананың буланатын заттарының, сондай-ақ жұмыс үй-жайларында ауада түзілетін озонның булармен және аэрозольдермен ауаның ластануын азайту үшін арнайы желдету жүйесі көзделеді. Сондай-ақ, жоғары кернеуден (қорғаныс және қауіпсіздік блоктары), электромагниттік өрістердің әсерінен (қорғаныс экрандары), шудан (дыбыс өткізбейтін қаптамалар), қатты рентген сәулесінен, ауаны иондаудан, ипожар жарылыстарынан қорғаудың қажетті шараларын қолданады. Қорғау шараларын орындау лазерлік қондырғылармен жүргізілетін жұмыстардың қауіпсіздігін қамтамасыз етеді. АЕМ №5804-91 [111] сәйкес те</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III және IV қауіптілік сыныбындағы лазерлер лазерлік сәулеленудің нысанамен өзара әрекеттесу аймағы және лазер сәулесі оның барлық ұзындығында жұмыс істеушілерден арнайы тасымалдау жүйелерімен немесе толқын ұзындығының сәулеленуі үшін мөлдір емес материалдардан жасалған экрандармен оқшауланған жабық үлгідегі қондырғыларда ғана қолданылуы тиіс. Экрандардың материалдары отқа төзімді және температура жоғарылаған кезде зиянды заттар бөлмеуі керек.</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Лазерлерді (лазерлік қондырғыларды) жобалауға арналған техникалық тапсырмалар мен техникалық шарттар Денсаулық сақтау министрлігімен келісілуі тиіс. Лазерлік сәулеленуден қорғауды техникалық, ұйымдастырушылық және емдік-профилактикалық әдістермен (ГОСТ 12.1.040—83*[112] қараңыз) және кестеде көрсетілген құралдармен жүзеге асырады. 5.5 [113].</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 xml:space="preserve">Лазерлер пайдаланылатын өндірістік үй-жайлар қолданыстағы санитарлық ережелердің талаптарына жауап беруі тиіс. Үй-жайлардың ішкі беттерінің, сондай-ақ олардағы заттардың (арнайы аппаратураны қоспағанда) сәулеленудің барынша шашырауын қамтамасыз ететін күңгірт беті болуы тиіс. </w:t>
      </w:r>
      <w:r w:rsidRPr="000A64C7">
        <w:rPr>
          <w:rFonts w:ascii="Times New Roman" w:hAnsi="Times New Roman" w:cs="Times New Roman"/>
          <w:sz w:val="28"/>
          <w:szCs w:val="28"/>
        </w:rPr>
        <w:lastRenderedPageBreak/>
        <w:t>Үй-жайлардың ішкі беттерін бояу үшін Бор негізіндегі желім бояуларын қолданған жөн.</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Лазерлік сәулелену әсерінің қауіптілік дәрежесін төмендету сәулеленудің толқын ұзындығына байланысты жүзеге асырылады:</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"сәулеленуді әлсіреткіштер" (жарық сүзгілері),</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"уақыт»,</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"қашықтық»,</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"көздің қабығының фондық жарықтандыруы".</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Радиациялық әлсіреткіштерді ұжымдық және жеке қорғаныс құралдарында қолдануға болады.</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Пайдаланылатын лазердің түріне (сәулеленудің толқын ұзындығына) байланысты лазерлік сәулеленуден қорғау құралдарында пайдалану үшін ұсынылатын материалдардың маркалары кестеде келтірілген. 5.6 және 5.7.</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Биологиялық әсер жұмыс күні ішінде жинақталған сәулеленетін тіннің жиынтық экспозициясына тәуелді болған жағдайларда сәулеленудің қауіптілік дәрежесін төмендетуді сәулеленумен жанасу уақытын шектеу арқылы жүзеге асыруға болады. Қорғаудың бұл әдісі УК спектрінің диапазонымен жұмыс істеген кезде жарамды. Ол сондай-ақ көрінетін спектр диапазонының сәулеленуімен жұмыс істеген кезде, оның қауіптілік дәрежесі қайталама биологиялық әсерлермен анықталған кезде жарамды.</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 xml:space="preserve">Қашықтыққа байланысты радиацияның қауіптілік дәрежесі әртүрлі спектрлік диапазондардың сәулеленуі үшін әртүрлі өзгереді. Сонымен, спектрдің алыс ИК-диапазондарын (қайталама биологиялық әсерлерді қарастырған кезде) көрінетін УК сәулесі үшін сәулеленудің қауіптілік дәрежесі сәулелену қарқындылығының қашықтыққа тәуелділігімен анықталады және R&gt;10R кезінде R-2 пропорционал </w:t>
      </w:r>
      <w:proofErr w:type="gramStart"/>
      <w:r w:rsidRPr="000A64C7">
        <w:rPr>
          <w:rFonts w:ascii="Times New Roman" w:hAnsi="Times New Roman" w:cs="Times New Roman"/>
          <w:sz w:val="28"/>
          <w:szCs w:val="28"/>
        </w:rPr>
        <w:t>болады .</w:t>
      </w:r>
      <w:proofErr w:type="gramEnd"/>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Жақын ДК сәулеленуінің және көзге көрінетін (бастапқы биологиялық әсерлерге қатысты) спектр диапазондарының көздің бұрыштық мөлшеріне тәуелділігі жақын қашықтықта ~R-1, ал үлкен қашықтықта ~R-2 болуына әкеледі.</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Жақын ДК және спектрдің көрінетін диапазондарын сәулелендіру үшін көзге сәулелену әсер еткен кезде қауіптілік дәрежесін төмендету EF қабағының фондық жарығын қолдану арқылы мүмкін болады. EFF 30-50 лк-ға дейін ұлғайған кезде G3 оқушысының мөлшерін азайту арқылы спектрдің жақын ИҚ диапазонының сәулеленуінің PDU-ға тиімді әсер етеді. Спектрдің көрінетін диапазонын сәулелендіру үшін ЭФ шамасы сәулеленудің әсер ету қаупі қайталама биологиялық әсерлермен анықталған жағдайларда ДБП-ға айтарлықтай әсер етеді. Диффузиялық сәулелену көзіне нормальда орналасқан ең қауіпті нүктедегі бастапқы биологиялық әсерлер бойынша сәулеленудің РДҚ мәні. мұндағы H1, k1 және Н2 мәндері № 5804-91 АЕМ-де келтірілген [8].</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Лазерлік сәулеленуден, айдау шамдарының сәулеленуінен қорғау құралдары,</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кварцты газ разрядты түтіктер және нысанамен лазерлік сәулеленудің өзара әрекеттесу аймағынан сәулеле.</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Ұйымдастырушылық қорғау іс-шараларына мыналар жатады:</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lastRenderedPageBreak/>
        <w:t>* Лазерлік қондырғыларды пайдаланудың нақты жағдайларын ескере отырып, барлық қажетті қорғау іс-шараларын анықтай отырып, жұмыс орындарын ұйымдастыру;</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 Қызметкерлерді оқыту және қауіпсіздік техникасы ережелерін білуін бақылау;</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 Медициналық бақылауды ұйымдастыру және т. б.</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Техникалық шаралар мен қорғаныс құралдары ұжымдық және жеке болып бөлінеді. Ұжымдық қамтиды:</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 Сыртқы ортаны қалыпқа келтіру құралдары;</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 Технологиялық процесті автоматты басқару жүйелері;</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 Қауіпсіздік құрылғыларын, аспаптарды, лазерлік қауіпті аймақтың әртүрлі қоршауларын пайдалану;</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 Телеметриялық және телевизиялық бақылау жүйелерін пайдалану;</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 xml:space="preserve">* Жерге </w:t>
      </w:r>
      <w:proofErr w:type="gramStart"/>
      <w:r w:rsidRPr="000A64C7">
        <w:rPr>
          <w:rFonts w:ascii="Times New Roman" w:hAnsi="Times New Roman" w:cs="Times New Roman"/>
          <w:sz w:val="28"/>
          <w:szCs w:val="28"/>
        </w:rPr>
        <w:t>қосу,нөлдеу</w:t>
      </w:r>
      <w:proofErr w:type="gramEnd"/>
      <w:r w:rsidRPr="000A64C7">
        <w:rPr>
          <w:rFonts w:ascii="Times New Roman" w:hAnsi="Times New Roman" w:cs="Times New Roman"/>
          <w:sz w:val="28"/>
          <w:szCs w:val="28"/>
        </w:rPr>
        <w:t>, құлыптау және т. б. қолдану[4]</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 Лазерлік қауіпті аймақты тәртіптік кедергілермен міндетті түрде бөлу және қоршау;</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 Бөлмеде бір лазерден артық емес орналастыру • егер екеуі болса, онда оларды жарық өткізбейтін бокстарға орналастыру керек);</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 Лазер сәулесінің отқа төзімді және шағылыспайтын қабырғаға бағыты;</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 xml:space="preserve">* Үй-жайдың бетін шағылысудың шағын коэффициенттері бар түстерге </w:t>
      </w:r>
      <w:proofErr w:type="gramStart"/>
      <w:r w:rsidRPr="000A64C7">
        <w:rPr>
          <w:rFonts w:ascii="Times New Roman" w:hAnsi="Times New Roman" w:cs="Times New Roman"/>
          <w:sz w:val="28"/>
          <w:szCs w:val="28"/>
        </w:rPr>
        <w:t>бояу( күңгірт</w:t>
      </w:r>
      <w:proofErr w:type="gramEnd"/>
      <w:r w:rsidRPr="000A64C7">
        <w:rPr>
          <w:rFonts w:ascii="Times New Roman" w:hAnsi="Times New Roman" w:cs="Times New Roman"/>
          <w:sz w:val="28"/>
          <w:szCs w:val="28"/>
        </w:rPr>
        <w:t xml:space="preserve"> қара түсті; нысана ашық түсті);</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 Үй-жайда мол табиғи (КЕО&gt;1,5% сех алаңдарда) және жасанды (Е&gt;150 лк) жарықтандыруды қамтамасыз ету [134]</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Лазерлік сәулеленуден қорғау шараларына мыналар жатады:</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а) генератор мен сорғы шамы жарық өткізбейтін экраннан тұрады;</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б) лазер сәулесі экранмен қоршалады немесе жарық өткізгіш арқылы беріледі;</w:t>
      </w:r>
    </w:p>
    <w:p w:rsidR="000A64C7" w:rsidRPr="000A64C7" w:rsidRDefault="000A64C7" w:rsidP="00CA70D5">
      <w:pPr>
        <w:spacing w:after="0" w:line="240" w:lineRule="auto"/>
        <w:ind w:firstLine="709"/>
        <w:jc w:val="both"/>
        <w:rPr>
          <w:rFonts w:ascii="Times New Roman" w:hAnsi="Times New Roman" w:cs="Times New Roman"/>
          <w:sz w:val="28"/>
          <w:szCs w:val="28"/>
        </w:rPr>
      </w:pPr>
      <w:r w:rsidRPr="000A64C7">
        <w:rPr>
          <w:rFonts w:ascii="Times New Roman" w:hAnsi="Times New Roman" w:cs="Times New Roman"/>
          <w:sz w:val="28"/>
          <w:szCs w:val="28"/>
        </w:rPr>
        <w:t>в) үй-жай мен жабдық күңгірт күңгірт реңктерге боялады;</w:t>
      </w:r>
    </w:p>
    <w:p w:rsidR="000A64C7" w:rsidRPr="000A64C7" w:rsidRDefault="000A64C7" w:rsidP="00CA70D5">
      <w:pPr>
        <w:spacing w:after="0" w:line="240" w:lineRule="auto"/>
        <w:ind w:firstLine="709"/>
        <w:jc w:val="both"/>
        <w:rPr>
          <w:rFonts w:ascii="Times New Roman" w:hAnsi="Times New Roman" w:cs="Times New Roman"/>
          <w:sz w:val="28"/>
          <w:szCs w:val="28"/>
        </w:rPr>
      </w:pPr>
      <w:proofErr w:type="gramStart"/>
      <w:r w:rsidRPr="000A64C7">
        <w:rPr>
          <w:rFonts w:ascii="Times New Roman" w:hAnsi="Times New Roman" w:cs="Times New Roman"/>
          <w:sz w:val="28"/>
          <w:szCs w:val="28"/>
        </w:rPr>
        <w:t>г)қорғаудың</w:t>
      </w:r>
      <w:proofErr w:type="gramEnd"/>
      <w:r w:rsidRPr="000A64C7">
        <w:rPr>
          <w:rFonts w:ascii="Times New Roman" w:hAnsi="Times New Roman" w:cs="Times New Roman"/>
          <w:sz w:val="28"/>
          <w:szCs w:val="28"/>
        </w:rPr>
        <w:t xml:space="preserve"> жеке шаралары қолданылады: көк-жасыл шыныдан жасалған әйнектері бар қорғаныш көзілдірігі, қолдарға арналған қара қолғап және кәдімгі арнайы киім.</w:t>
      </w:r>
    </w:p>
    <w:sectPr w:rsidR="000A64C7" w:rsidRPr="000A64C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64C7"/>
    <w:rsid w:val="000A64C7"/>
    <w:rsid w:val="00541126"/>
    <w:rsid w:val="00CA70D5"/>
    <w:rsid w:val="00F60B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C4EA1B"/>
  <w15:docId w15:val="{08BEC3D1-C4AC-4D06-B823-86A699A57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Pages>
  <Words>2412</Words>
  <Characters>13755</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Пользователь</cp:lastModifiedBy>
  <cp:revision>3</cp:revision>
  <dcterms:created xsi:type="dcterms:W3CDTF">2020-08-19T16:56:00Z</dcterms:created>
  <dcterms:modified xsi:type="dcterms:W3CDTF">2020-08-19T16:59:00Z</dcterms:modified>
</cp:coreProperties>
</file>